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E87AB" w14:textId="77777777" w:rsidR="004303B7" w:rsidRDefault="004303B7" w:rsidP="001F505C">
      <w:pPr>
        <w:spacing w:line="480" w:lineRule="auto"/>
        <w:jc w:val="center"/>
        <w:rPr>
          <w:rFonts w:ascii="Times New Roman" w:hAnsi="Times New Roman" w:cs="Times New Roman"/>
          <w:bCs/>
          <w:sz w:val="24"/>
          <w:szCs w:val="24"/>
          <w:lang w:val="en-US"/>
        </w:rPr>
      </w:pPr>
    </w:p>
    <w:p w14:paraId="3B9D218B" w14:textId="77777777" w:rsidR="004303B7" w:rsidRDefault="004303B7" w:rsidP="001F505C">
      <w:pPr>
        <w:spacing w:line="480" w:lineRule="auto"/>
        <w:jc w:val="center"/>
        <w:rPr>
          <w:rFonts w:ascii="Times New Roman" w:hAnsi="Times New Roman" w:cs="Times New Roman"/>
          <w:bCs/>
          <w:sz w:val="24"/>
          <w:szCs w:val="24"/>
          <w:lang w:val="en-US"/>
        </w:rPr>
      </w:pPr>
    </w:p>
    <w:p w14:paraId="65DA28EB" w14:textId="16226679" w:rsidR="004303B7" w:rsidRDefault="004303B7" w:rsidP="001F505C">
      <w:pPr>
        <w:spacing w:line="480" w:lineRule="auto"/>
        <w:jc w:val="center"/>
        <w:rPr>
          <w:rFonts w:ascii="Times New Roman" w:hAnsi="Times New Roman" w:cs="Times New Roman"/>
          <w:bCs/>
          <w:sz w:val="24"/>
          <w:szCs w:val="24"/>
          <w:lang w:val="en-US"/>
        </w:rPr>
      </w:pPr>
    </w:p>
    <w:p w14:paraId="40C1E322" w14:textId="77777777" w:rsidR="001F505C" w:rsidRDefault="001F505C" w:rsidP="001F505C">
      <w:pPr>
        <w:spacing w:line="480" w:lineRule="auto"/>
        <w:jc w:val="center"/>
        <w:rPr>
          <w:rFonts w:ascii="Times New Roman" w:hAnsi="Times New Roman" w:cs="Times New Roman"/>
          <w:bCs/>
          <w:sz w:val="24"/>
          <w:szCs w:val="24"/>
          <w:lang w:val="en-US"/>
        </w:rPr>
      </w:pPr>
    </w:p>
    <w:p w14:paraId="02D06585" w14:textId="77777777" w:rsidR="004303B7" w:rsidRDefault="004303B7" w:rsidP="001F505C">
      <w:pPr>
        <w:spacing w:line="480" w:lineRule="auto"/>
        <w:jc w:val="center"/>
        <w:rPr>
          <w:rFonts w:ascii="Times New Roman" w:hAnsi="Times New Roman" w:cs="Times New Roman"/>
          <w:bCs/>
          <w:sz w:val="24"/>
          <w:szCs w:val="24"/>
          <w:lang w:val="en-US"/>
        </w:rPr>
      </w:pPr>
    </w:p>
    <w:p w14:paraId="122BB362" w14:textId="7D60BA1A" w:rsidR="00D22E9D" w:rsidRDefault="00D22E9D" w:rsidP="001F505C">
      <w:pPr>
        <w:spacing w:line="480" w:lineRule="auto"/>
        <w:jc w:val="center"/>
        <w:rPr>
          <w:rFonts w:ascii="Times New Roman" w:hAnsi="Times New Roman" w:cs="Times New Roman"/>
          <w:bCs/>
          <w:sz w:val="24"/>
          <w:szCs w:val="24"/>
          <w:lang w:val="en-US"/>
        </w:rPr>
      </w:pPr>
      <w:r w:rsidRPr="00D22E9D">
        <w:rPr>
          <w:rFonts w:ascii="Times New Roman" w:hAnsi="Times New Roman" w:cs="Times New Roman"/>
          <w:bCs/>
          <w:sz w:val="24"/>
          <w:szCs w:val="24"/>
          <w:lang w:val="en-US"/>
        </w:rPr>
        <w:t>Entrepreneurial Orientation and Intrapreneurial Success</w:t>
      </w:r>
    </w:p>
    <w:p w14:paraId="44C14299" w14:textId="1A3C3CAE" w:rsidR="00AD5223" w:rsidRDefault="00AD5223" w:rsidP="001F505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3F0AB6B" w14:textId="3204029F" w:rsidR="00AD5223" w:rsidRDefault="00AD5223" w:rsidP="001F505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EF123F5" w14:textId="77777777" w:rsidR="001F505C" w:rsidRDefault="001F505C" w:rsidP="001F505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60BEAB7" w14:textId="74B06A76" w:rsidR="00AD5223" w:rsidRDefault="00AD5223" w:rsidP="001F505C">
      <w:pPr>
        <w:spacing w:line="480" w:lineRule="auto"/>
        <w:jc w:val="center"/>
        <w:rPr>
          <w:rFonts w:ascii="Times New Roman" w:hAnsi="Times New Roman" w:cs="Times New Roman"/>
          <w:bCs/>
          <w:sz w:val="24"/>
          <w:szCs w:val="24"/>
          <w:lang w:val="en-US"/>
        </w:rPr>
      </w:pPr>
      <w:r w:rsidRPr="00D22E9D">
        <w:rPr>
          <w:rFonts w:ascii="Times New Roman" w:hAnsi="Times New Roman" w:cs="Times New Roman"/>
          <w:bCs/>
          <w:sz w:val="24"/>
          <w:szCs w:val="24"/>
          <w:lang w:val="en-US"/>
        </w:rPr>
        <w:lastRenderedPageBreak/>
        <w:t>Entrepreneurial Orientation and Intrapreneurial Success</w:t>
      </w:r>
    </w:p>
    <w:p w14:paraId="54C3232A" w14:textId="77777777" w:rsidR="00AD5223" w:rsidRDefault="00D22E9D" w:rsidP="001F505C">
      <w:pPr>
        <w:spacing w:line="480" w:lineRule="auto"/>
        <w:jc w:val="center"/>
        <w:rPr>
          <w:rFonts w:ascii="Times New Roman" w:hAnsi="Times New Roman" w:cs="Times New Roman"/>
          <w:b/>
          <w:sz w:val="24"/>
          <w:szCs w:val="24"/>
          <w:lang w:val="en-US"/>
        </w:rPr>
      </w:pPr>
      <w:r w:rsidRPr="00D22E9D">
        <w:rPr>
          <w:rFonts w:ascii="Times New Roman" w:hAnsi="Times New Roman" w:cs="Times New Roman"/>
          <w:b/>
          <w:sz w:val="24"/>
          <w:szCs w:val="24"/>
          <w:lang w:val="en-US"/>
        </w:rPr>
        <w:t>Introduction</w:t>
      </w:r>
    </w:p>
    <w:p w14:paraId="42EA91B6" w14:textId="5D733634"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In the modern complex market environment, organizations have been forced to come up with newer methods of identifying market opportunities and exploiting them to maintain a competitive advantage. Among these methods, intrapreneurship has been a means through which existing organizations attempt to develop new innovative ventures, products, or services to exploit new opportunities and create economic value (Badoiu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2020). In trying to establish sustainable intrapreneurship, several measures that enhance the organization’s likelihood of becoming innovative or intrapreneurial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such as adopting an entrepreneurial orientation</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have been employed. In this paper, I explain how an entrepreneurial orientation increases the likelihood of large businesses becoming innovative and intrapreneurial. Furthermore, I elaborate on how autonomy, innovativeness, aggressiveness, proactiveness, and risk-taking contribute to intrapreneurship.</w:t>
      </w:r>
    </w:p>
    <w:p w14:paraId="22C42287" w14:textId="77777777" w:rsidR="00AD5223" w:rsidRDefault="00D22E9D" w:rsidP="001F505C">
      <w:pPr>
        <w:spacing w:line="480" w:lineRule="auto"/>
        <w:jc w:val="center"/>
        <w:rPr>
          <w:rFonts w:ascii="Times New Roman" w:hAnsi="Times New Roman" w:cs="Times New Roman"/>
          <w:b/>
          <w:sz w:val="24"/>
          <w:szCs w:val="24"/>
          <w:lang w:val="en-US"/>
        </w:rPr>
      </w:pPr>
      <w:r w:rsidRPr="00D22E9D">
        <w:rPr>
          <w:rFonts w:ascii="Times New Roman" w:hAnsi="Times New Roman" w:cs="Times New Roman"/>
          <w:b/>
          <w:sz w:val="24"/>
          <w:szCs w:val="24"/>
          <w:lang w:val="en-US"/>
        </w:rPr>
        <w:t xml:space="preserve">Why Large Businesses with an Entrepreneurial Orientation are </w:t>
      </w:r>
      <w:r w:rsidR="00AD5223">
        <w:rPr>
          <w:rFonts w:ascii="Times New Roman" w:hAnsi="Times New Roman" w:cs="Times New Roman"/>
          <w:b/>
          <w:sz w:val="24"/>
          <w:szCs w:val="24"/>
          <w:lang w:val="en-US"/>
        </w:rPr>
        <w:t>M</w:t>
      </w:r>
      <w:r w:rsidRPr="00D22E9D">
        <w:rPr>
          <w:rFonts w:ascii="Times New Roman" w:hAnsi="Times New Roman" w:cs="Times New Roman"/>
          <w:b/>
          <w:sz w:val="24"/>
          <w:szCs w:val="24"/>
          <w:lang w:val="en-US"/>
        </w:rPr>
        <w:t xml:space="preserve">ore </w:t>
      </w:r>
      <w:r w:rsidR="00AD5223">
        <w:rPr>
          <w:rFonts w:ascii="Times New Roman" w:hAnsi="Times New Roman" w:cs="Times New Roman"/>
          <w:b/>
          <w:sz w:val="24"/>
          <w:szCs w:val="24"/>
          <w:lang w:val="en-US"/>
        </w:rPr>
        <w:t>L</w:t>
      </w:r>
      <w:r w:rsidRPr="00D22E9D">
        <w:rPr>
          <w:rFonts w:ascii="Times New Roman" w:hAnsi="Times New Roman" w:cs="Times New Roman"/>
          <w:b/>
          <w:sz w:val="24"/>
          <w:szCs w:val="24"/>
          <w:lang w:val="en-US"/>
        </w:rPr>
        <w:t>ikely to be Innovative or Intrapreneurial</w:t>
      </w:r>
    </w:p>
    <w:p w14:paraId="72B35CDA" w14:textId="7A4D9C3B"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Entrepreneurial orientation refers to the decision-making styles, practices, processes, and behaviors in an organization that lead to ‘entry’ into new or established markets with innovative goods or services (Kraus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2012). As such, the establishment of entrepreneurial orientation in a large organization requires creating organizational cultures and structures in which entrepreneurial initiatives flourish (Kraus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2012). Essentially, these structures and cultures should be inclined towards qualities such as decentralized decision making, low formality, wide spans of control, expertise- (</w:t>
      </w:r>
      <w:r w:rsidR="004303B7">
        <w:rPr>
          <w:rFonts w:ascii="Times New Roman" w:hAnsi="Times New Roman" w:cs="Times New Roman"/>
          <w:sz w:val="24"/>
          <w:szCs w:val="24"/>
          <w:lang w:val="en-US"/>
        </w:rPr>
        <w:t>v</w:t>
      </w:r>
      <w:r w:rsidRPr="00D22E9D">
        <w:rPr>
          <w:rFonts w:ascii="Times New Roman" w:hAnsi="Times New Roman" w:cs="Times New Roman"/>
          <w:sz w:val="24"/>
          <w:szCs w:val="24"/>
          <w:lang w:val="en-US"/>
        </w:rPr>
        <w:t>s</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position)-based power, process flexibility, free-flowing information networks, and loose adherence to rules and policies (Kraus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2012). Such an environment is conducive for innovation, since the free </w:t>
      </w:r>
      <w:r w:rsidRPr="00D22E9D">
        <w:rPr>
          <w:rFonts w:ascii="Times New Roman" w:hAnsi="Times New Roman" w:cs="Times New Roman"/>
          <w:sz w:val="24"/>
          <w:szCs w:val="24"/>
          <w:lang w:val="en-US"/>
        </w:rPr>
        <w:lastRenderedPageBreak/>
        <w:t>flow of information is required to inform innovative processes of the employees, and loose adherence to policies enhances a positive organizational reception to innovative ideas.  Similarly, an entrepreneurial orientation creates a culture that enhances a positive working environment through adequate remuneration, communication openness, and provision of opportunities for career development which support intrapreneurship (Rojuaniah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2016). Furthermore, entrepreneurial orientation is characterized by a positive managerial inclination towards risk-taking as well as proactiveness, both of which support intrapreneurship (Anderson et al, 2015). Consequently, an entrepreneurial orientation increases the likelihood of an organization becoming innovative and intrapreneurial.</w:t>
      </w:r>
    </w:p>
    <w:p w14:paraId="395694D0" w14:textId="77777777" w:rsidR="00AD5223" w:rsidRDefault="00D22E9D" w:rsidP="001F505C">
      <w:pPr>
        <w:spacing w:line="480" w:lineRule="auto"/>
        <w:jc w:val="center"/>
        <w:rPr>
          <w:rFonts w:ascii="Times New Roman" w:hAnsi="Times New Roman" w:cs="Times New Roman"/>
          <w:b/>
          <w:sz w:val="24"/>
          <w:szCs w:val="24"/>
          <w:lang w:val="en-US"/>
        </w:rPr>
      </w:pPr>
      <w:r w:rsidRPr="00D22E9D">
        <w:rPr>
          <w:rFonts w:ascii="Times New Roman" w:hAnsi="Times New Roman" w:cs="Times New Roman"/>
          <w:b/>
          <w:sz w:val="24"/>
          <w:szCs w:val="24"/>
          <w:lang w:val="en-US"/>
        </w:rPr>
        <w:t>How Autonomy, Innovativeness, Proactiveness, Aggressiveness, and Risk-Taking Contribute to Intrapreneurship</w:t>
      </w:r>
    </w:p>
    <w:p w14:paraId="7F397C63" w14:textId="0F28B6B6" w:rsidR="00D22E9D" w:rsidRPr="00D22E9D" w:rsidRDefault="00D22E9D" w:rsidP="001F505C">
      <w:pPr>
        <w:spacing w:line="480" w:lineRule="auto"/>
        <w:rPr>
          <w:rFonts w:ascii="Times New Roman" w:hAnsi="Times New Roman" w:cs="Times New Roman"/>
          <w:b/>
          <w:sz w:val="24"/>
          <w:szCs w:val="24"/>
          <w:lang w:val="en-US"/>
        </w:rPr>
      </w:pPr>
      <w:r w:rsidRPr="00D22E9D">
        <w:rPr>
          <w:rFonts w:ascii="Times New Roman" w:hAnsi="Times New Roman" w:cs="Times New Roman"/>
          <w:b/>
          <w:sz w:val="24"/>
          <w:szCs w:val="24"/>
          <w:lang w:val="en-US"/>
        </w:rPr>
        <w:t>Autonomy</w:t>
      </w:r>
      <w:r w:rsidR="00AD5223">
        <w:rPr>
          <w:rFonts w:ascii="Times New Roman" w:hAnsi="Times New Roman" w:cs="Times New Roman"/>
          <w:b/>
          <w:sz w:val="24"/>
          <w:szCs w:val="24"/>
          <w:lang w:val="en-US"/>
        </w:rPr>
        <w:t xml:space="preserve"> and Intrapreneurship</w:t>
      </w:r>
    </w:p>
    <w:p w14:paraId="661E865E" w14:textId="1FC740E6"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In an organizational context, autonomy refers to the amount of freedom given to an employee in making certain choices without continuous observation and interference from supervisors (</w:t>
      </w:r>
      <w:r w:rsidR="005927A4">
        <w:rPr>
          <w:rFonts w:ascii="Times New Roman" w:hAnsi="Times New Roman" w:cs="Times New Roman"/>
          <w:sz w:val="24"/>
          <w:szCs w:val="24"/>
          <w:lang w:val="en-US"/>
        </w:rPr>
        <w:t>Naqvi et al.</w:t>
      </w:r>
      <w:r w:rsidRPr="00D22E9D">
        <w:rPr>
          <w:rFonts w:ascii="Times New Roman" w:hAnsi="Times New Roman" w:cs="Times New Roman"/>
          <w:sz w:val="24"/>
          <w:szCs w:val="24"/>
          <w:lang w:val="en-US"/>
        </w:rPr>
        <w:t>, 2013). With relation to intrapreneurship, an employee with autonomy is allowed to make independent decisions that affect their innovative processes without constraints from organizational managers but takes responsibility for the outcomes of these decisions (</w:t>
      </w:r>
      <w:r w:rsidR="005927A4">
        <w:rPr>
          <w:rFonts w:ascii="Times New Roman" w:hAnsi="Times New Roman" w:cs="Times New Roman"/>
          <w:sz w:val="24"/>
          <w:szCs w:val="24"/>
          <w:lang w:val="en-US"/>
        </w:rPr>
        <w:t>Naqvi et al.</w:t>
      </w:r>
      <w:r w:rsidRPr="00D22E9D">
        <w:rPr>
          <w:rFonts w:ascii="Times New Roman" w:hAnsi="Times New Roman" w:cs="Times New Roman"/>
          <w:sz w:val="24"/>
          <w:szCs w:val="24"/>
          <w:lang w:val="en-US"/>
        </w:rPr>
        <w:t>, 2013). This responsibility is correlated to increased work efficiency and elevated individual motivation, which support intrapreneurship (</w:t>
      </w:r>
      <w:r w:rsidR="005927A4">
        <w:rPr>
          <w:rFonts w:ascii="Times New Roman" w:hAnsi="Times New Roman" w:cs="Times New Roman"/>
          <w:sz w:val="24"/>
          <w:szCs w:val="24"/>
          <w:lang w:val="en-US"/>
        </w:rPr>
        <w:t>Naqvi et al.</w:t>
      </w:r>
      <w:r w:rsidRPr="00D22E9D">
        <w:rPr>
          <w:rFonts w:ascii="Times New Roman" w:hAnsi="Times New Roman" w:cs="Times New Roman"/>
          <w:sz w:val="24"/>
          <w:szCs w:val="24"/>
          <w:lang w:val="en-US"/>
        </w:rPr>
        <w:t>, 2013). Additionally, autonomy enables an employee to choose the necessary organizational resources needed for an intrapreneurial venture with the sanctioning of the organizational management, which provides the necessary support that an entrepreneur needs (</w:t>
      </w:r>
      <w:r w:rsidR="005927A4">
        <w:rPr>
          <w:rFonts w:ascii="Times New Roman" w:hAnsi="Times New Roman" w:cs="Times New Roman"/>
          <w:sz w:val="24"/>
          <w:szCs w:val="24"/>
          <w:lang w:val="en-US"/>
        </w:rPr>
        <w:t>Naqvi et al.</w:t>
      </w:r>
      <w:r w:rsidRPr="00D22E9D">
        <w:rPr>
          <w:rFonts w:ascii="Times New Roman" w:hAnsi="Times New Roman" w:cs="Times New Roman"/>
          <w:sz w:val="24"/>
          <w:szCs w:val="24"/>
          <w:lang w:val="en-US"/>
        </w:rPr>
        <w:t xml:space="preserve">, 2013). Moreover, the intrapreneur decides the pace with which he/she works, and is in charge of regulating the processes, methods, and objectives of the venture. Most importantly, </w:t>
      </w:r>
      <w:r w:rsidRPr="00D22E9D">
        <w:rPr>
          <w:rFonts w:ascii="Times New Roman" w:hAnsi="Times New Roman" w:cs="Times New Roman"/>
          <w:sz w:val="24"/>
          <w:szCs w:val="24"/>
          <w:lang w:val="en-US"/>
        </w:rPr>
        <w:lastRenderedPageBreak/>
        <w:t>employee autonomy is associated with increased job satisfaction since one feels valued, which contributes to employee loyalty in ensuring that they maximize the opportunities for intrapreneurship granted by the organization. Consequently, autonomy positively contributes to intrapreneurship.</w:t>
      </w:r>
    </w:p>
    <w:p w14:paraId="2950C337" w14:textId="77777777" w:rsidR="00AD5223" w:rsidRDefault="00D22E9D" w:rsidP="001F505C">
      <w:pPr>
        <w:spacing w:line="480" w:lineRule="auto"/>
        <w:rPr>
          <w:rFonts w:ascii="Times New Roman" w:hAnsi="Times New Roman" w:cs="Times New Roman"/>
          <w:b/>
          <w:sz w:val="24"/>
          <w:szCs w:val="24"/>
          <w:lang w:val="en-US"/>
        </w:rPr>
      </w:pPr>
      <w:r w:rsidRPr="00D22E9D">
        <w:rPr>
          <w:rFonts w:ascii="Times New Roman" w:hAnsi="Times New Roman" w:cs="Times New Roman"/>
          <w:b/>
          <w:sz w:val="24"/>
          <w:szCs w:val="24"/>
          <w:lang w:val="en-US"/>
        </w:rPr>
        <w:t>Innovativeness</w:t>
      </w:r>
      <w:r w:rsidR="00AD5223">
        <w:rPr>
          <w:rFonts w:ascii="Times New Roman" w:hAnsi="Times New Roman" w:cs="Times New Roman"/>
          <w:b/>
          <w:sz w:val="24"/>
          <w:szCs w:val="24"/>
          <w:lang w:val="en-US"/>
        </w:rPr>
        <w:t xml:space="preserve"> and </w:t>
      </w:r>
      <w:r w:rsidR="00AD5223">
        <w:rPr>
          <w:rFonts w:ascii="Times New Roman" w:hAnsi="Times New Roman" w:cs="Times New Roman"/>
          <w:b/>
          <w:sz w:val="24"/>
          <w:szCs w:val="24"/>
          <w:lang w:val="en-US"/>
        </w:rPr>
        <w:t>Intrapreneurship</w:t>
      </w:r>
    </w:p>
    <w:p w14:paraId="2DD85525" w14:textId="4D2C0C35"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Innovativeness affects intrapreneurship at organizational and individual levels. At the organizational level, innovativeness influences the openness of the organization</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s cultural beliefs, values, and attitudes to new ideas as a result of innovation (Tajeddini, 2010). As such, this openness determines </w:t>
      </w:r>
      <w:r w:rsidR="004303B7">
        <w:rPr>
          <w:rFonts w:ascii="Times New Roman" w:hAnsi="Times New Roman" w:cs="Times New Roman"/>
          <w:sz w:val="24"/>
          <w:szCs w:val="24"/>
          <w:lang w:val="en-US"/>
        </w:rPr>
        <w:t>a firm’s ability</w:t>
      </w:r>
      <w:r w:rsidRPr="00D22E9D">
        <w:rPr>
          <w:rFonts w:ascii="Times New Roman" w:hAnsi="Times New Roman" w:cs="Times New Roman"/>
          <w:sz w:val="24"/>
          <w:szCs w:val="24"/>
          <w:lang w:val="en-US"/>
        </w:rPr>
        <w:t xml:space="preserve"> to develop, launch and commercialize innovative products or services at a fast rate and ahead of its competitors (Tajeddini, 2010). Consequently, organizational innovativeness determines the effectiveness of the implementation of intrapreneurial ideas. On the other hand, innovativeness at an individual level affects the quality and quantity of innovative ideas generated for exploitation as part of intrapreneurship. Furthermore, a highly innovative employee can find a way to pursue opportunities regardless of the resources allocated by the organization, thus improving the chances of success of an intrapreneurial venture (Ahmad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2012). Therefore, innovativeness both at the individual and the organizational levels contribute to intrapreneurship.</w:t>
      </w:r>
    </w:p>
    <w:p w14:paraId="6EECB74B" w14:textId="77777777" w:rsidR="00AD5223" w:rsidRDefault="00D22E9D" w:rsidP="001F505C">
      <w:pPr>
        <w:spacing w:line="480" w:lineRule="auto"/>
        <w:rPr>
          <w:rFonts w:ascii="Times New Roman" w:hAnsi="Times New Roman" w:cs="Times New Roman"/>
          <w:b/>
          <w:sz w:val="24"/>
          <w:szCs w:val="24"/>
          <w:lang w:val="en-US"/>
        </w:rPr>
      </w:pPr>
      <w:r w:rsidRPr="00D22E9D">
        <w:rPr>
          <w:rFonts w:ascii="Times New Roman" w:hAnsi="Times New Roman" w:cs="Times New Roman"/>
          <w:b/>
          <w:sz w:val="24"/>
          <w:szCs w:val="24"/>
          <w:lang w:val="en-US"/>
        </w:rPr>
        <w:t>Aggressiveness</w:t>
      </w:r>
      <w:r w:rsidR="00AD5223">
        <w:rPr>
          <w:rFonts w:ascii="Times New Roman" w:hAnsi="Times New Roman" w:cs="Times New Roman"/>
          <w:b/>
          <w:sz w:val="24"/>
          <w:szCs w:val="24"/>
          <w:lang w:val="en-US"/>
        </w:rPr>
        <w:t xml:space="preserve"> and </w:t>
      </w:r>
      <w:r w:rsidR="00AD5223" w:rsidRPr="00AD5223">
        <w:rPr>
          <w:rFonts w:ascii="Times New Roman" w:hAnsi="Times New Roman" w:cs="Times New Roman"/>
          <w:b/>
          <w:sz w:val="24"/>
          <w:szCs w:val="24"/>
          <w:lang w:val="en-US"/>
        </w:rPr>
        <w:t>Intrapreneurship</w:t>
      </w:r>
    </w:p>
    <w:p w14:paraId="17F42C62" w14:textId="1700E31A"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Aggressiveness refers to how an organization relates to its competitors in the marketplace and responds to trends and demand that already exist in the marketplace concerning these competitors (Aroyeun et al</w:t>
      </w:r>
      <w:r w:rsidR="00AD5223">
        <w:rPr>
          <w:rFonts w:ascii="Times New Roman" w:hAnsi="Times New Roman" w:cs="Times New Roman"/>
          <w:sz w:val="24"/>
          <w:szCs w:val="24"/>
          <w:lang w:val="en-US"/>
        </w:rPr>
        <w:t>.</w:t>
      </w:r>
      <w:r w:rsidRPr="00D22E9D">
        <w:rPr>
          <w:rFonts w:ascii="Times New Roman" w:hAnsi="Times New Roman" w:cs="Times New Roman"/>
          <w:sz w:val="24"/>
          <w:szCs w:val="24"/>
          <w:lang w:val="en-US"/>
        </w:rPr>
        <w:t>, 2018). As such, an aggressive organization intensively and directly challenges its competitors when entering a market to enhance its position by outperforming its rivals (Aroyeun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2018). However, aggressiveness </w:t>
      </w:r>
      <w:r w:rsidRPr="00D22E9D">
        <w:rPr>
          <w:rFonts w:ascii="Times New Roman" w:hAnsi="Times New Roman" w:cs="Times New Roman"/>
          <w:sz w:val="24"/>
          <w:szCs w:val="24"/>
          <w:lang w:val="en-US"/>
        </w:rPr>
        <w:lastRenderedPageBreak/>
        <w:t>demands adequate human resources and high and motivational levels among employees for competitive action in addition to information access which enhances the organization’s rival awareness levels and anticipation of market changes (Aroyeun et al, 2018). This information is crucial to intrapreneurship, which requires an analysis of the external environment such as the competitors and market changes to identify opportunities for exploitation. Furthermore, aggressiveness forces an organization to allocate adequate resources to gain a competitive advantage, which is then directed to innovation within the organization, market development, and high investment to improve market share and to achieve a competitive position (Aroyeun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2018). Such resources are necessary for intrapreneurial ventures. Consequently, aggressiveness forces the organization to acquire external information and allocate the adequate resources needed to gain a competitive advantage, which is essential to intrapreneurship.</w:t>
      </w:r>
    </w:p>
    <w:p w14:paraId="5F100EC6" w14:textId="77777777" w:rsidR="00AD5223" w:rsidRDefault="00D22E9D" w:rsidP="001F505C">
      <w:pPr>
        <w:spacing w:line="480" w:lineRule="auto"/>
        <w:rPr>
          <w:rFonts w:ascii="Times New Roman" w:hAnsi="Times New Roman" w:cs="Times New Roman"/>
          <w:b/>
          <w:sz w:val="24"/>
          <w:szCs w:val="24"/>
          <w:lang w:val="en-US"/>
        </w:rPr>
      </w:pPr>
      <w:r w:rsidRPr="00D22E9D">
        <w:rPr>
          <w:rFonts w:ascii="Times New Roman" w:hAnsi="Times New Roman" w:cs="Times New Roman"/>
          <w:b/>
          <w:sz w:val="24"/>
          <w:szCs w:val="24"/>
          <w:lang w:val="en-US"/>
        </w:rPr>
        <w:t>Risk-</w:t>
      </w:r>
      <w:r w:rsidR="00AD5223">
        <w:rPr>
          <w:rFonts w:ascii="Times New Roman" w:hAnsi="Times New Roman" w:cs="Times New Roman"/>
          <w:b/>
          <w:sz w:val="24"/>
          <w:szCs w:val="24"/>
          <w:lang w:val="en-US"/>
        </w:rPr>
        <w:t>T</w:t>
      </w:r>
      <w:r w:rsidRPr="00D22E9D">
        <w:rPr>
          <w:rFonts w:ascii="Times New Roman" w:hAnsi="Times New Roman" w:cs="Times New Roman"/>
          <w:b/>
          <w:sz w:val="24"/>
          <w:szCs w:val="24"/>
          <w:lang w:val="en-US"/>
        </w:rPr>
        <w:t>aking and Proactiveness</w:t>
      </w:r>
      <w:r w:rsidR="00AD5223">
        <w:rPr>
          <w:rFonts w:ascii="Times New Roman" w:hAnsi="Times New Roman" w:cs="Times New Roman"/>
          <w:b/>
          <w:sz w:val="24"/>
          <w:szCs w:val="24"/>
          <w:lang w:val="en-US"/>
        </w:rPr>
        <w:t xml:space="preserve"> and </w:t>
      </w:r>
      <w:r w:rsidR="00AD5223" w:rsidRPr="00AD5223">
        <w:rPr>
          <w:rFonts w:ascii="Times New Roman" w:hAnsi="Times New Roman" w:cs="Times New Roman"/>
          <w:b/>
          <w:sz w:val="24"/>
          <w:szCs w:val="24"/>
          <w:lang w:val="en-US"/>
        </w:rPr>
        <w:t>Intrapreneurship</w:t>
      </w:r>
    </w:p>
    <w:p w14:paraId="5AC67C58" w14:textId="7CF10A86" w:rsidR="00AD5223" w:rsidRDefault="00D22E9D" w:rsidP="001F505C">
      <w:pPr>
        <w:spacing w:line="480" w:lineRule="auto"/>
        <w:ind w:firstLine="720"/>
        <w:rPr>
          <w:rFonts w:ascii="Times New Roman" w:hAnsi="Times New Roman" w:cs="Times New Roman"/>
          <w:sz w:val="24"/>
          <w:szCs w:val="24"/>
          <w:lang w:val="en-US"/>
        </w:rPr>
      </w:pPr>
      <w:r w:rsidRPr="00D22E9D">
        <w:rPr>
          <w:rFonts w:ascii="Times New Roman" w:hAnsi="Times New Roman" w:cs="Times New Roman"/>
          <w:sz w:val="24"/>
          <w:szCs w:val="24"/>
          <w:lang w:val="en-US"/>
        </w:rPr>
        <w:t>Risk-taking and proactiveness contribute to intrapreneurship in several ways. While risk-taking refers to the tendency of the entrepreneur to make decisions that may compromise the firm’s resources by taking calculated risks (Manzano-García &amp; Ayala-Calvo, 2020), proactiveness relates to the pioneering and initiative-taking ability in pursuing intrapreneurial ventures, some of which may require taking risks (Afriyie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2020). Employees with high risk-taking ability are willing to take more risks due to a positive perception of failure, and risk-averse organizational managers are more tolerant and understanding of the intrapreneurs whose projects may fail due to an unpredictable market environment (Alpkan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2010). Alternatively, proactiveness is positively associated with intrapreneurial intentions and behavio</w:t>
      </w:r>
      <w:r w:rsidR="007D1DED">
        <w:rPr>
          <w:rFonts w:ascii="Times New Roman" w:hAnsi="Times New Roman" w:cs="Times New Roman"/>
          <w:sz w:val="24"/>
          <w:szCs w:val="24"/>
          <w:lang w:val="en-US"/>
        </w:rPr>
        <w:t>u</w:t>
      </w:r>
      <w:r w:rsidRPr="00D22E9D">
        <w:rPr>
          <w:rFonts w:ascii="Times New Roman" w:hAnsi="Times New Roman" w:cs="Times New Roman"/>
          <w:sz w:val="24"/>
          <w:szCs w:val="24"/>
          <w:lang w:val="en-US"/>
        </w:rPr>
        <w:t>rs since proactive employees are inclined to adopt more business opportunities (Afriyie et al</w:t>
      </w:r>
      <w:r w:rsidR="007D1DED">
        <w:rPr>
          <w:rFonts w:ascii="Times New Roman" w:hAnsi="Times New Roman" w:cs="Times New Roman"/>
          <w:sz w:val="24"/>
          <w:szCs w:val="24"/>
          <w:lang w:val="en-US"/>
        </w:rPr>
        <w:t>.</w:t>
      </w:r>
      <w:r w:rsidRPr="00D22E9D">
        <w:rPr>
          <w:rFonts w:ascii="Times New Roman" w:hAnsi="Times New Roman" w:cs="Times New Roman"/>
          <w:sz w:val="24"/>
          <w:szCs w:val="24"/>
          <w:lang w:val="en-US"/>
        </w:rPr>
        <w:t xml:space="preserve">, 2020). Furthermore, a firm is said to be intrapreneurial when its employees are always taking initiatives, tackling issues head-on, anticipating and preventing problems, and </w:t>
      </w:r>
      <w:r w:rsidRPr="00D22E9D">
        <w:rPr>
          <w:rFonts w:ascii="Times New Roman" w:hAnsi="Times New Roman" w:cs="Times New Roman"/>
          <w:sz w:val="24"/>
          <w:szCs w:val="24"/>
          <w:lang w:val="en-US"/>
        </w:rPr>
        <w:lastRenderedPageBreak/>
        <w:t>are change-oriented (Afriyie et al</w:t>
      </w:r>
      <w:r w:rsidR="004303B7">
        <w:rPr>
          <w:rFonts w:ascii="Times New Roman" w:hAnsi="Times New Roman" w:cs="Times New Roman"/>
          <w:sz w:val="24"/>
          <w:szCs w:val="24"/>
          <w:lang w:val="en-US"/>
        </w:rPr>
        <w:t>.</w:t>
      </w:r>
      <w:r w:rsidRPr="00D22E9D">
        <w:rPr>
          <w:rFonts w:ascii="Times New Roman" w:hAnsi="Times New Roman" w:cs="Times New Roman"/>
          <w:sz w:val="24"/>
          <w:szCs w:val="24"/>
          <w:lang w:val="en-US"/>
        </w:rPr>
        <w:t>, 2020). As a result, proactiveness and risk-taking positively contribute to intrapreneurship.</w:t>
      </w:r>
    </w:p>
    <w:p w14:paraId="596DFE42" w14:textId="77777777" w:rsidR="00AD5223" w:rsidRDefault="00D22E9D" w:rsidP="001F505C">
      <w:pPr>
        <w:spacing w:line="480" w:lineRule="auto"/>
        <w:jc w:val="center"/>
        <w:rPr>
          <w:rFonts w:ascii="Times New Roman" w:hAnsi="Times New Roman" w:cs="Times New Roman"/>
          <w:b/>
          <w:sz w:val="24"/>
          <w:szCs w:val="24"/>
          <w:lang w:val="en-US"/>
        </w:rPr>
      </w:pPr>
      <w:r w:rsidRPr="00D22E9D">
        <w:rPr>
          <w:rFonts w:ascii="Times New Roman" w:hAnsi="Times New Roman" w:cs="Times New Roman"/>
          <w:b/>
          <w:sz w:val="24"/>
          <w:szCs w:val="24"/>
          <w:lang w:val="en-US"/>
        </w:rPr>
        <w:t>Conclusion</w:t>
      </w:r>
    </w:p>
    <w:p w14:paraId="7323FE5E" w14:textId="12BEE756" w:rsidR="00AD5223" w:rsidRDefault="007D1DED" w:rsidP="001F505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Therefore, it can be concluded that large businesses with an entrepreneurial orientation are more likely to become innovative and,</w:t>
      </w:r>
      <w:r w:rsidR="00D22E9D" w:rsidRPr="00D22E9D">
        <w:rPr>
          <w:rFonts w:ascii="Times New Roman" w:hAnsi="Times New Roman" w:cs="Times New Roman"/>
          <w:sz w:val="24"/>
          <w:szCs w:val="24"/>
          <w:lang w:val="en-US"/>
        </w:rPr>
        <w:t xml:space="preserve"> by extension</w:t>
      </w:r>
      <w:r>
        <w:rPr>
          <w:rFonts w:ascii="Times New Roman" w:hAnsi="Times New Roman" w:cs="Times New Roman"/>
          <w:sz w:val="24"/>
          <w:szCs w:val="24"/>
          <w:lang w:val="en-US"/>
        </w:rPr>
        <w:t>,</w:t>
      </w:r>
      <w:r w:rsidR="00D22E9D" w:rsidRPr="00D22E9D">
        <w:rPr>
          <w:rFonts w:ascii="Times New Roman" w:hAnsi="Times New Roman" w:cs="Times New Roman"/>
          <w:sz w:val="24"/>
          <w:szCs w:val="24"/>
          <w:lang w:val="en-US"/>
        </w:rPr>
        <w:t xml:space="preserve"> intrapreneurial. This is because an entrepreneurial orientation fosters a culture inclined towards decentralized decision making, low formality, wide spans of control, process flexibility, free-flowing information networks, and loose adherence to rules and policies. Such a culture supports a positive organizational reception of innovative ideas while facilitating open communication channels required for innovation. Since the entrepreneurship orientation supports innovation, as well as promoting a positive managerial perception of risk-taking, an organization with such an orientation is likely to become intrapreneurial. Nonetheless, other organizational and individual factors contribute to intrapreneurship, some of which include autonomy, innovativeness, aggression, proactiveness, and risk-taking. While autonomy supports employee freedom in making choices regarding an intrapreneurial venture, innovativeness enhances the employees’ ability to find ways of utilizing the available organizational resources to create a successful intrapreneurial venture. Aggression, on the other hand, forces the organization to effectively allocate resources needed for intrapreneurship, while risk-taking and proactiveness are essential for the successful implementation of intrapreneurial ventures.</w:t>
      </w:r>
    </w:p>
    <w:p w14:paraId="37E46D9E" w14:textId="77777777" w:rsidR="001F505C" w:rsidRDefault="001F505C" w:rsidP="001F505C">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D6CCE22" w14:textId="56B9FB24" w:rsidR="00AD5223" w:rsidRDefault="00D22E9D" w:rsidP="001F505C">
      <w:pPr>
        <w:spacing w:line="480" w:lineRule="auto"/>
        <w:jc w:val="center"/>
        <w:rPr>
          <w:rFonts w:ascii="Times New Roman" w:hAnsi="Times New Roman" w:cs="Times New Roman"/>
          <w:bCs/>
          <w:sz w:val="24"/>
          <w:szCs w:val="24"/>
          <w:lang w:val="en-US"/>
        </w:rPr>
      </w:pPr>
      <w:r w:rsidRPr="00D22E9D">
        <w:rPr>
          <w:rFonts w:ascii="Times New Roman" w:hAnsi="Times New Roman" w:cs="Times New Roman"/>
          <w:bCs/>
          <w:sz w:val="24"/>
          <w:szCs w:val="24"/>
          <w:lang w:val="en-US"/>
        </w:rPr>
        <w:lastRenderedPageBreak/>
        <w:t>References</w:t>
      </w:r>
    </w:p>
    <w:p w14:paraId="757007B8" w14:textId="1FFD4E51"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 xml:space="preserve">Afriyie, N., Melyoki, L., &amp; Nchimbi, M. (2020). </w:t>
      </w:r>
      <w:r w:rsidRPr="00D22E9D">
        <w:rPr>
          <w:rFonts w:ascii="Times New Roman" w:hAnsi="Times New Roman" w:cs="Times New Roman"/>
          <w:sz w:val="24"/>
          <w:szCs w:val="24"/>
          <w:lang w:val="en-US"/>
        </w:rPr>
        <w:t xml:space="preserve">The influence of employee self-efficacy, outcome expectation and firm resources on intrapreneurial behaviour: insight from </w:t>
      </w:r>
      <w:r w:rsidR="005C1683">
        <w:rPr>
          <w:rFonts w:ascii="Times New Roman" w:hAnsi="Times New Roman" w:cs="Times New Roman"/>
          <w:sz w:val="24"/>
          <w:szCs w:val="24"/>
          <w:lang w:val="en-US"/>
        </w:rPr>
        <w:t>G</w:t>
      </w:r>
      <w:r w:rsidRPr="00D22E9D">
        <w:rPr>
          <w:rFonts w:ascii="Times New Roman" w:hAnsi="Times New Roman" w:cs="Times New Roman"/>
          <w:sz w:val="24"/>
          <w:szCs w:val="24"/>
          <w:lang w:val="en-US"/>
        </w:rPr>
        <w:t>hana</w:t>
      </w:r>
      <w:r w:rsidRPr="00D22E9D">
        <w:rPr>
          <w:rFonts w:ascii="Times New Roman" w:hAnsi="Times New Roman" w:cs="Times New Roman"/>
          <w:sz w:val="24"/>
          <w:szCs w:val="24"/>
          <w:lang w:val="en-US"/>
        </w:rPr>
        <w:t xml:space="preserve">. </w:t>
      </w:r>
      <w:r w:rsidRPr="00D22E9D">
        <w:rPr>
          <w:rFonts w:ascii="Times New Roman" w:hAnsi="Times New Roman" w:cs="Times New Roman"/>
          <w:i/>
          <w:sz w:val="24"/>
          <w:szCs w:val="24"/>
          <w:lang w:val="en-US"/>
        </w:rPr>
        <w:t>Athens Journal of Business &amp; Economics</w:t>
      </w:r>
      <w:r w:rsidRPr="00D22E9D">
        <w:rPr>
          <w:rFonts w:ascii="Times New Roman" w:hAnsi="Times New Roman" w:cs="Times New Roman"/>
          <w:sz w:val="24"/>
          <w:szCs w:val="24"/>
          <w:lang w:val="en-US"/>
        </w:rPr>
        <w:t xml:space="preserve"> 2020.</w:t>
      </w:r>
      <w:r>
        <w:rPr>
          <w:rFonts w:ascii="Times New Roman" w:hAnsi="Times New Roman" w:cs="Times New Roman"/>
          <w:sz w:val="24"/>
          <w:szCs w:val="24"/>
          <w:lang w:val="en-US"/>
        </w:rPr>
        <w:t xml:space="preserve"> </w:t>
      </w:r>
      <w:hyperlink r:id="rId6" w:history="1">
        <w:r w:rsidRPr="00D22E9D">
          <w:rPr>
            <w:rStyle w:val="Hyperlink"/>
            <w:rFonts w:ascii="Times New Roman" w:hAnsi="Times New Roman" w:cs="Times New Roman"/>
            <w:sz w:val="24"/>
            <w:szCs w:val="24"/>
            <w:lang w:val="en-US"/>
          </w:rPr>
          <w:t>https://doi.org/10.30958/ajbe.X-Y-Z</w:t>
        </w:r>
      </w:hyperlink>
    </w:p>
    <w:p w14:paraId="65E50C5C"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Ahmad, H., Nasurdin, M., &amp; Zainal, S. (2012). Nurturing intrapreneurship to enhance job performance: the role of pro-intrapreneurship organizational architecture.</w:t>
      </w:r>
      <w:r w:rsidRPr="00D22E9D">
        <w:rPr>
          <w:rFonts w:ascii="Times New Roman" w:hAnsi="Times New Roman" w:cs="Times New Roman"/>
          <w:i/>
          <w:sz w:val="24"/>
          <w:szCs w:val="24"/>
          <w:lang w:val="en-US"/>
        </w:rPr>
        <w:t> Journal of Innovation Management in Small &amp; Medium Enterprises</w:t>
      </w:r>
      <w:r w:rsidRPr="00D22E9D">
        <w:rPr>
          <w:rFonts w:ascii="Times New Roman" w:hAnsi="Times New Roman" w:cs="Times New Roman"/>
          <w:sz w:val="24"/>
          <w:szCs w:val="24"/>
          <w:lang w:val="en-US"/>
        </w:rPr>
        <w:t>, 2012, 1.</w:t>
      </w:r>
    </w:p>
    <w:p w14:paraId="1F1822A1"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Alpkan, L., Bulut, C., Gunday, G., Ulusoy, G., &amp; Kilic, K. (2010). Organizational support for intrapreneurship and its interaction with human capital to enhance innovative performance. </w:t>
      </w:r>
      <w:r w:rsidRPr="00D22E9D">
        <w:rPr>
          <w:rFonts w:ascii="Times New Roman" w:hAnsi="Times New Roman" w:cs="Times New Roman"/>
          <w:i/>
          <w:iCs/>
          <w:sz w:val="24"/>
          <w:szCs w:val="24"/>
          <w:lang w:val="en-US"/>
        </w:rPr>
        <w:t>Management decision</w:t>
      </w:r>
      <w:r w:rsidRPr="00D22E9D">
        <w:rPr>
          <w:rFonts w:ascii="Times New Roman" w:hAnsi="Times New Roman" w:cs="Times New Roman"/>
          <w:sz w:val="24"/>
          <w:szCs w:val="24"/>
          <w:lang w:val="en-US"/>
        </w:rPr>
        <w:t>.</w:t>
      </w:r>
    </w:p>
    <w:p w14:paraId="7BF541F7"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Anderson, S., Kreiser, M., Kuratko, F., Hornsby, S., &amp; Eshima, Y. (2015). Reconceptualizing entrepreneurial orientation. </w:t>
      </w:r>
      <w:r w:rsidRPr="00D22E9D">
        <w:rPr>
          <w:rFonts w:ascii="Times New Roman" w:hAnsi="Times New Roman" w:cs="Times New Roman"/>
          <w:i/>
          <w:iCs/>
          <w:sz w:val="24"/>
          <w:szCs w:val="24"/>
          <w:lang w:val="en-US"/>
        </w:rPr>
        <w:t>Strategic management journal</w:t>
      </w:r>
      <w:r w:rsidRPr="00D22E9D">
        <w:rPr>
          <w:rFonts w:ascii="Times New Roman" w:hAnsi="Times New Roman" w:cs="Times New Roman"/>
          <w:sz w:val="24"/>
          <w:szCs w:val="24"/>
          <w:lang w:val="en-US"/>
        </w:rPr>
        <w:t>, </w:t>
      </w:r>
      <w:r w:rsidRPr="00D22E9D">
        <w:rPr>
          <w:rFonts w:ascii="Times New Roman" w:hAnsi="Times New Roman" w:cs="Times New Roman"/>
          <w:i/>
          <w:iCs/>
          <w:sz w:val="24"/>
          <w:szCs w:val="24"/>
          <w:lang w:val="en-US"/>
        </w:rPr>
        <w:t>36</w:t>
      </w:r>
      <w:r w:rsidRPr="00D22E9D">
        <w:rPr>
          <w:rFonts w:ascii="Times New Roman" w:hAnsi="Times New Roman" w:cs="Times New Roman"/>
          <w:sz w:val="24"/>
          <w:szCs w:val="24"/>
          <w:lang w:val="en-US"/>
        </w:rPr>
        <w:t>(10), 1579-1596.</w:t>
      </w:r>
    </w:p>
    <w:p w14:paraId="0AF0ABE0"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 xml:space="preserve">Aroyeun, F., Adefulu, D., &amp; Asikhia, U. (2018). Effect of Competitive Aggressiveness on Competitive Advantage of Selected Small and Medium Scale Enterprises in Ogun State, Nigeria. </w:t>
      </w:r>
      <w:r w:rsidRPr="00D22E9D">
        <w:rPr>
          <w:rFonts w:ascii="Times New Roman" w:hAnsi="Times New Roman" w:cs="Times New Roman"/>
          <w:i/>
          <w:sz w:val="24"/>
          <w:szCs w:val="24"/>
          <w:lang w:val="en-US"/>
        </w:rPr>
        <w:t>European Journal of Business and Management</w:t>
      </w:r>
      <w:r w:rsidRPr="00D22E9D">
        <w:rPr>
          <w:rFonts w:ascii="Times New Roman" w:hAnsi="Times New Roman" w:cs="Times New Roman"/>
          <w:sz w:val="24"/>
          <w:szCs w:val="24"/>
          <w:lang w:val="en-US"/>
        </w:rPr>
        <w:t>. Vol.10, No.35, 2018</w:t>
      </w:r>
      <w:r>
        <w:rPr>
          <w:rFonts w:ascii="Times New Roman" w:hAnsi="Times New Roman" w:cs="Times New Roman"/>
          <w:sz w:val="24"/>
          <w:szCs w:val="24"/>
          <w:lang w:val="en-US"/>
        </w:rPr>
        <w:t>.</w:t>
      </w:r>
    </w:p>
    <w:p w14:paraId="4DFE6FB0"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Badoiu, A., Segarra-Ciprés, M., &amp; Escrig-Tena, B. (2020). Understanding employees’ intrapreneurial behavior: a case study. </w:t>
      </w:r>
      <w:r w:rsidRPr="00D22E9D">
        <w:rPr>
          <w:rFonts w:ascii="Times New Roman" w:hAnsi="Times New Roman" w:cs="Times New Roman"/>
          <w:i/>
          <w:iCs/>
          <w:sz w:val="24"/>
          <w:szCs w:val="24"/>
          <w:lang w:val="en-US"/>
        </w:rPr>
        <w:t>Personnel Review</w:t>
      </w:r>
      <w:r w:rsidRPr="00D22E9D">
        <w:rPr>
          <w:rFonts w:ascii="Times New Roman" w:hAnsi="Times New Roman" w:cs="Times New Roman"/>
          <w:sz w:val="24"/>
          <w:szCs w:val="24"/>
          <w:lang w:val="en-US"/>
        </w:rPr>
        <w:t>.</w:t>
      </w:r>
    </w:p>
    <w:p w14:paraId="350F9F6F"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Kraus, S., Rigtering, C., Hughes, M. et al. (2012) Entrepreneurial orientation and the business performance of SMEs: a quantitative study from the Netherlands. </w:t>
      </w:r>
      <w:r w:rsidRPr="00D22E9D">
        <w:rPr>
          <w:rFonts w:ascii="Times New Roman" w:hAnsi="Times New Roman" w:cs="Times New Roman"/>
          <w:i/>
          <w:sz w:val="24"/>
          <w:szCs w:val="24"/>
          <w:lang w:val="en-US"/>
        </w:rPr>
        <w:t>Rev Manag Sci</w:t>
      </w:r>
      <w:r w:rsidRPr="00D22E9D">
        <w:rPr>
          <w:rFonts w:ascii="Times New Roman" w:hAnsi="Times New Roman" w:cs="Times New Roman"/>
          <w:sz w:val="24"/>
          <w:szCs w:val="24"/>
          <w:lang w:val="en-US"/>
        </w:rPr>
        <w:t xml:space="preserve"> 6, 161–182 (2012). </w:t>
      </w:r>
      <w:hyperlink r:id="rId7" w:history="1">
        <w:r w:rsidRPr="00D22E9D">
          <w:rPr>
            <w:rStyle w:val="Hyperlink"/>
            <w:rFonts w:ascii="Times New Roman" w:hAnsi="Times New Roman" w:cs="Times New Roman"/>
            <w:sz w:val="24"/>
            <w:szCs w:val="24"/>
            <w:lang w:val="en-US"/>
          </w:rPr>
          <w:t>https://doi.org/10.1007/s11846-011-0062-9</w:t>
        </w:r>
      </w:hyperlink>
    </w:p>
    <w:p w14:paraId="33643FC4" w14:textId="77777777"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lastRenderedPageBreak/>
        <w:t xml:space="preserve">Manzano-García, G., &amp; Ayala-Calvo, J. C. (2020). </w:t>
      </w:r>
      <w:r w:rsidRPr="00D22E9D">
        <w:rPr>
          <w:rFonts w:ascii="Times New Roman" w:hAnsi="Times New Roman" w:cs="Times New Roman"/>
          <w:sz w:val="24"/>
          <w:szCs w:val="24"/>
          <w:lang w:val="en-US"/>
        </w:rPr>
        <w:t>Entrepreneurial orientation: its relationship with the entrepreneur’s subjective success in</w:t>
      </w:r>
      <w:r w:rsidRPr="00D22E9D">
        <w:rPr>
          <w:rFonts w:ascii="Times New Roman" w:hAnsi="Times New Roman" w:cs="Times New Roman"/>
          <w:sz w:val="24"/>
          <w:szCs w:val="24"/>
          <w:lang w:val="en-US"/>
        </w:rPr>
        <w:t xml:space="preserve"> SMEs. </w:t>
      </w:r>
      <w:r w:rsidRPr="00D22E9D">
        <w:rPr>
          <w:rFonts w:ascii="Times New Roman" w:hAnsi="Times New Roman" w:cs="Times New Roman"/>
          <w:i/>
          <w:sz w:val="24"/>
          <w:szCs w:val="24"/>
          <w:lang w:val="en-US"/>
        </w:rPr>
        <w:t>Sustainability,</w:t>
      </w:r>
      <w:r w:rsidRPr="00D22E9D">
        <w:rPr>
          <w:rFonts w:ascii="Times New Roman" w:hAnsi="Times New Roman" w:cs="Times New Roman"/>
          <w:sz w:val="24"/>
          <w:szCs w:val="24"/>
          <w:lang w:val="en-US"/>
        </w:rPr>
        <w:t> 12(11), 4547.</w:t>
      </w:r>
    </w:p>
    <w:p w14:paraId="27EEFEE6" w14:textId="77777777" w:rsidR="00174F08" w:rsidRDefault="00174F08" w:rsidP="001F505C">
      <w:pPr>
        <w:spacing w:line="480" w:lineRule="auto"/>
        <w:ind w:left="720" w:hanging="720"/>
        <w:rPr>
          <w:rFonts w:ascii="Times New Roman" w:hAnsi="Times New Roman" w:cs="Times New Roman"/>
          <w:sz w:val="24"/>
          <w:szCs w:val="24"/>
          <w:lang w:val="en-US"/>
        </w:rPr>
      </w:pPr>
      <w:r w:rsidRPr="00AD5223">
        <w:rPr>
          <w:rFonts w:ascii="Times New Roman" w:hAnsi="Times New Roman" w:cs="Times New Roman"/>
          <w:sz w:val="24"/>
          <w:szCs w:val="24"/>
        </w:rPr>
        <w:t>Naqvi, S. R., Ishtiaq, M., Kanwal, N., &amp; Ali, M. (2013). Impact of job autonomy on organizational commitment and job satisfaction: The moderating role of organizational culture in fast food sector of Pakistan. </w:t>
      </w:r>
      <w:r w:rsidRPr="00AD5223">
        <w:rPr>
          <w:rFonts w:ascii="Times New Roman" w:hAnsi="Times New Roman" w:cs="Times New Roman"/>
          <w:i/>
          <w:iCs/>
          <w:sz w:val="24"/>
          <w:szCs w:val="24"/>
        </w:rPr>
        <w:t>International Journal of Business and Management</w:t>
      </w:r>
      <w:r w:rsidRPr="00AD5223">
        <w:rPr>
          <w:rFonts w:ascii="Times New Roman" w:hAnsi="Times New Roman" w:cs="Times New Roman"/>
          <w:sz w:val="24"/>
          <w:szCs w:val="24"/>
        </w:rPr>
        <w:t>, </w:t>
      </w:r>
      <w:r w:rsidRPr="00AD5223">
        <w:rPr>
          <w:rFonts w:ascii="Times New Roman" w:hAnsi="Times New Roman" w:cs="Times New Roman"/>
          <w:i/>
          <w:iCs/>
          <w:sz w:val="24"/>
          <w:szCs w:val="24"/>
        </w:rPr>
        <w:t>8</w:t>
      </w:r>
      <w:r w:rsidRPr="00AD5223">
        <w:rPr>
          <w:rFonts w:ascii="Times New Roman" w:hAnsi="Times New Roman" w:cs="Times New Roman"/>
          <w:sz w:val="24"/>
          <w:szCs w:val="24"/>
        </w:rPr>
        <w:t>(17), 92</w:t>
      </w:r>
      <w:r>
        <w:rPr>
          <w:rFonts w:ascii="Times New Roman" w:hAnsi="Times New Roman" w:cs="Times New Roman"/>
          <w:sz w:val="24"/>
          <w:szCs w:val="24"/>
          <w:lang w:val="en-US"/>
        </w:rPr>
        <w:t>-102.</w:t>
      </w:r>
    </w:p>
    <w:p w14:paraId="16B575FB" w14:textId="2CBDBC58" w:rsidR="00174F08"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 xml:space="preserve">Rojuaniah, E., Sule, T., &amp; Joeliaty, S. (2016). The </w:t>
      </w:r>
      <w:r w:rsidR="005C1683" w:rsidRPr="00D22E9D">
        <w:rPr>
          <w:rFonts w:ascii="Times New Roman" w:hAnsi="Times New Roman" w:cs="Times New Roman"/>
          <w:sz w:val="24"/>
          <w:szCs w:val="24"/>
          <w:lang w:val="en-US"/>
        </w:rPr>
        <w:t>factors influence intrapreneurship behavior in construction company</w:t>
      </w:r>
      <w:r w:rsidRPr="00D22E9D">
        <w:rPr>
          <w:rFonts w:ascii="Times New Roman" w:hAnsi="Times New Roman" w:cs="Times New Roman"/>
          <w:sz w:val="24"/>
          <w:szCs w:val="24"/>
          <w:lang w:val="en-US"/>
        </w:rPr>
        <w:t>. </w:t>
      </w:r>
      <w:r w:rsidRPr="00D22E9D">
        <w:rPr>
          <w:rFonts w:ascii="Times New Roman" w:hAnsi="Times New Roman" w:cs="Times New Roman"/>
          <w:i/>
          <w:iCs/>
          <w:sz w:val="24"/>
          <w:szCs w:val="24"/>
          <w:lang w:val="en-US"/>
        </w:rPr>
        <w:t>International Journal of Scientific &amp; Technology Research</w:t>
      </w:r>
      <w:r w:rsidRPr="00D22E9D">
        <w:rPr>
          <w:rFonts w:ascii="Times New Roman" w:hAnsi="Times New Roman" w:cs="Times New Roman"/>
          <w:sz w:val="24"/>
          <w:szCs w:val="24"/>
          <w:lang w:val="en-US"/>
        </w:rPr>
        <w:t>, </w:t>
      </w:r>
      <w:r w:rsidRPr="00D22E9D">
        <w:rPr>
          <w:rFonts w:ascii="Times New Roman" w:hAnsi="Times New Roman" w:cs="Times New Roman"/>
          <w:i/>
          <w:iCs/>
          <w:sz w:val="24"/>
          <w:szCs w:val="24"/>
          <w:lang w:val="en-US"/>
        </w:rPr>
        <w:t>5</w:t>
      </w:r>
      <w:r w:rsidRPr="00D22E9D">
        <w:rPr>
          <w:rFonts w:ascii="Times New Roman" w:hAnsi="Times New Roman" w:cs="Times New Roman"/>
          <w:sz w:val="24"/>
          <w:szCs w:val="24"/>
          <w:lang w:val="en-US"/>
        </w:rPr>
        <w:t>(5), 36-40.</w:t>
      </w:r>
    </w:p>
    <w:p w14:paraId="4A7BC90B" w14:textId="77777777" w:rsidR="00174F08" w:rsidRPr="00D22E9D" w:rsidRDefault="00174F08" w:rsidP="001F505C">
      <w:pPr>
        <w:spacing w:line="480" w:lineRule="auto"/>
        <w:ind w:left="720" w:hanging="720"/>
        <w:rPr>
          <w:rFonts w:ascii="Times New Roman" w:hAnsi="Times New Roman" w:cs="Times New Roman"/>
          <w:sz w:val="24"/>
          <w:szCs w:val="24"/>
          <w:lang w:val="en-US"/>
        </w:rPr>
      </w:pPr>
      <w:r w:rsidRPr="00D22E9D">
        <w:rPr>
          <w:rFonts w:ascii="Times New Roman" w:hAnsi="Times New Roman" w:cs="Times New Roman"/>
          <w:sz w:val="24"/>
          <w:szCs w:val="24"/>
          <w:lang w:val="en-US"/>
        </w:rPr>
        <w:t>Tajeddini, K. (2010). Effect of customer orientation and entrepreneurial orientation on innovativeness: Evidence from the hotel industry in Switzerland. </w:t>
      </w:r>
      <w:r w:rsidRPr="00D22E9D">
        <w:rPr>
          <w:rFonts w:ascii="Times New Roman" w:hAnsi="Times New Roman" w:cs="Times New Roman"/>
          <w:i/>
          <w:sz w:val="24"/>
          <w:szCs w:val="24"/>
          <w:lang w:val="en-US"/>
        </w:rPr>
        <w:t>Tourism management</w:t>
      </w:r>
      <w:r w:rsidRPr="00D22E9D">
        <w:rPr>
          <w:rFonts w:ascii="Times New Roman" w:hAnsi="Times New Roman" w:cs="Times New Roman"/>
          <w:sz w:val="24"/>
          <w:szCs w:val="24"/>
          <w:lang w:val="en-US"/>
        </w:rPr>
        <w:t>, 31(2), 221-231.</w:t>
      </w:r>
    </w:p>
    <w:sectPr w:rsidR="00174F08" w:rsidRPr="00D22E9D" w:rsidSect="00D22E9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CF233" w14:textId="77777777" w:rsidR="00AF2D37" w:rsidRDefault="00AF2D37" w:rsidP="00D22E9D">
      <w:pPr>
        <w:spacing w:after="0" w:line="240" w:lineRule="auto"/>
      </w:pPr>
      <w:r>
        <w:separator/>
      </w:r>
    </w:p>
  </w:endnote>
  <w:endnote w:type="continuationSeparator" w:id="0">
    <w:p w14:paraId="4B4FF33D" w14:textId="77777777" w:rsidR="00AF2D37" w:rsidRDefault="00AF2D37" w:rsidP="00D22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206CE2" w14:textId="77777777" w:rsidR="00AF2D37" w:rsidRDefault="00AF2D37" w:rsidP="00D22E9D">
      <w:pPr>
        <w:spacing w:after="0" w:line="240" w:lineRule="auto"/>
      </w:pPr>
      <w:r>
        <w:separator/>
      </w:r>
    </w:p>
  </w:footnote>
  <w:footnote w:type="continuationSeparator" w:id="0">
    <w:p w14:paraId="0D762DE5" w14:textId="77777777" w:rsidR="00AF2D37" w:rsidRDefault="00AF2D37" w:rsidP="00D22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79521698"/>
      <w:docPartObj>
        <w:docPartGallery w:val="Page Numbers (Top of Page)"/>
        <w:docPartUnique/>
      </w:docPartObj>
    </w:sdtPr>
    <w:sdtEndPr>
      <w:rPr>
        <w:noProof/>
      </w:rPr>
    </w:sdtEndPr>
    <w:sdtContent>
      <w:p w14:paraId="01A9749E" w14:textId="4206C6D7" w:rsidR="00D22E9D" w:rsidRPr="00D22E9D" w:rsidRDefault="00D22E9D" w:rsidP="00D22E9D">
        <w:pPr>
          <w:pStyle w:val="Header"/>
          <w:jc w:val="right"/>
          <w:rPr>
            <w:rFonts w:ascii="Times New Roman" w:hAnsi="Times New Roman" w:cs="Times New Roman"/>
          </w:rPr>
        </w:pPr>
        <w:r w:rsidRPr="00D22E9D">
          <w:rPr>
            <w:rFonts w:ascii="Times New Roman" w:hAnsi="Times New Roman" w:cs="Times New Roman"/>
            <w:bCs/>
            <w:lang w:val="en-US"/>
          </w:rPr>
          <w:t>ENTREPRENEURIAL ORIENTATION AND INTRAPRENEURIAL SUCCESS</w:t>
        </w:r>
        <w:r>
          <w:rPr>
            <w:rFonts w:ascii="Times New Roman" w:hAnsi="Times New Roman" w:cs="Times New Roman"/>
          </w:rPr>
          <w:tab/>
        </w:r>
        <w:r w:rsidRPr="00D22E9D">
          <w:rPr>
            <w:rFonts w:ascii="Times New Roman" w:hAnsi="Times New Roman" w:cs="Times New Roman"/>
          </w:rPr>
          <w:fldChar w:fldCharType="begin"/>
        </w:r>
        <w:r w:rsidRPr="00D22E9D">
          <w:rPr>
            <w:rFonts w:ascii="Times New Roman" w:hAnsi="Times New Roman" w:cs="Times New Roman"/>
          </w:rPr>
          <w:instrText xml:space="preserve"> PAGE   \* MERGEFORMAT </w:instrText>
        </w:r>
        <w:r w:rsidRPr="00D22E9D">
          <w:rPr>
            <w:rFonts w:ascii="Times New Roman" w:hAnsi="Times New Roman" w:cs="Times New Roman"/>
          </w:rPr>
          <w:fldChar w:fldCharType="separate"/>
        </w:r>
        <w:r w:rsidRPr="00D22E9D">
          <w:rPr>
            <w:rFonts w:ascii="Times New Roman" w:hAnsi="Times New Roman" w:cs="Times New Roman"/>
            <w:noProof/>
          </w:rPr>
          <w:t>2</w:t>
        </w:r>
        <w:r w:rsidRPr="00D22E9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89150850"/>
      <w:docPartObj>
        <w:docPartGallery w:val="Page Numbers (Top of Page)"/>
        <w:docPartUnique/>
      </w:docPartObj>
    </w:sdtPr>
    <w:sdtEndPr>
      <w:rPr>
        <w:noProof/>
      </w:rPr>
    </w:sdtEndPr>
    <w:sdtContent>
      <w:p w14:paraId="7513A18D" w14:textId="6D03AD4D" w:rsidR="00D22E9D" w:rsidRPr="00D22E9D" w:rsidRDefault="00D22E9D" w:rsidP="00D22E9D">
        <w:pPr>
          <w:pStyle w:val="Header"/>
          <w:jc w:val="right"/>
          <w:rPr>
            <w:rFonts w:ascii="Times New Roman" w:hAnsi="Times New Roman" w:cs="Times New Roman"/>
          </w:rPr>
        </w:pPr>
        <w:r>
          <w:rPr>
            <w:rFonts w:ascii="Times New Roman" w:hAnsi="Times New Roman" w:cs="Times New Roman"/>
            <w:lang w:val="en-US"/>
          </w:rPr>
          <w:t xml:space="preserve">Running head: </w:t>
        </w:r>
        <w:r w:rsidRPr="00D22E9D">
          <w:rPr>
            <w:rFonts w:ascii="Times New Roman" w:hAnsi="Times New Roman" w:cs="Times New Roman"/>
            <w:bCs/>
            <w:lang w:val="en-US"/>
          </w:rPr>
          <w:t>ENTREPRENEURIAL ORIENTATION AND INTRAPRENEURIAL SUCCESS</w:t>
        </w:r>
        <w:r>
          <w:rPr>
            <w:rFonts w:ascii="Times New Roman" w:hAnsi="Times New Roman" w:cs="Times New Roman"/>
          </w:rPr>
          <w:tab/>
        </w:r>
        <w:r w:rsidRPr="00D22E9D">
          <w:rPr>
            <w:rFonts w:ascii="Times New Roman" w:hAnsi="Times New Roman" w:cs="Times New Roman"/>
          </w:rPr>
          <w:fldChar w:fldCharType="begin"/>
        </w:r>
        <w:r w:rsidRPr="00D22E9D">
          <w:rPr>
            <w:rFonts w:ascii="Times New Roman" w:hAnsi="Times New Roman" w:cs="Times New Roman"/>
          </w:rPr>
          <w:instrText xml:space="preserve"> PAGE   \* MERGEFORMAT </w:instrText>
        </w:r>
        <w:r w:rsidRPr="00D22E9D">
          <w:rPr>
            <w:rFonts w:ascii="Times New Roman" w:hAnsi="Times New Roman" w:cs="Times New Roman"/>
          </w:rPr>
          <w:fldChar w:fldCharType="separate"/>
        </w:r>
        <w:r w:rsidRPr="00D22E9D">
          <w:rPr>
            <w:rFonts w:ascii="Times New Roman" w:hAnsi="Times New Roman" w:cs="Times New Roman"/>
            <w:noProof/>
          </w:rPr>
          <w:t>2</w:t>
        </w:r>
        <w:r w:rsidRPr="00D22E9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wsDAyNbQwNbK0MDFW0lEKTi0uzszPAykwrAUAPjMEkywAAAA="/>
  </w:docVars>
  <w:rsids>
    <w:rsidRoot w:val="00D22E9D"/>
    <w:rsid w:val="00174F08"/>
    <w:rsid w:val="001F505C"/>
    <w:rsid w:val="004303B7"/>
    <w:rsid w:val="005927A4"/>
    <w:rsid w:val="005C1683"/>
    <w:rsid w:val="007D1DED"/>
    <w:rsid w:val="0086561F"/>
    <w:rsid w:val="00AD5223"/>
    <w:rsid w:val="00AF2D37"/>
    <w:rsid w:val="00CD3EF3"/>
    <w:rsid w:val="00D22E9D"/>
    <w:rsid w:val="00F462B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DF31"/>
  <w15:chartTrackingRefBased/>
  <w15:docId w15:val="{E2AEFE86-0343-4B07-A86D-223AF488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2E9D"/>
    <w:rPr>
      <w:color w:val="0563C1" w:themeColor="hyperlink"/>
      <w:u w:val="single"/>
    </w:rPr>
  </w:style>
  <w:style w:type="character" w:styleId="UnresolvedMention">
    <w:name w:val="Unresolved Mention"/>
    <w:basedOn w:val="DefaultParagraphFont"/>
    <w:uiPriority w:val="99"/>
    <w:semiHidden/>
    <w:unhideWhenUsed/>
    <w:rsid w:val="00D22E9D"/>
    <w:rPr>
      <w:color w:val="605E5C"/>
      <w:shd w:val="clear" w:color="auto" w:fill="E1DFDD"/>
    </w:rPr>
  </w:style>
  <w:style w:type="paragraph" w:styleId="Header">
    <w:name w:val="header"/>
    <w:basedOn w:val="Normal"/>
    <w:link w:val="HeaderChar"/>
    <w:uiPriority w:val="99"/>
    <w:unhideWhenUsed/>
    <w:rsid w:val="00D22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2E9D"/>
  </w:style>
  <w:style w:type="paragraph" w:styleId="Footer">
    <w:name w:val="footer"/>
    <w:basedOn w:val="Normal"/>
    <w:link w:val="FooterChar"/>
    <w:uiPriority w:val="99"/>
    <w:unhideWhenUsed/>
    <w:rsid w:val="00D22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2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s11846-011-006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0958/ajbe.X-Y-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2021-01-22T16:57:00Z</dcterms:created>
  <dcterms:modified xsi:type="dcterms:W3CDTF">2021-01-22T17:27:00Z</dcterms:modified>
</cp:coreProperties>
</file>